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4E" w:rsidRPr="0034724E" w:rsidRDefault="0034724E" w:rsidP="0034724E">
      <w:pPr>
        <w:pStyle w:val="ad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 w:rsidRPr="0034724E">
        <w:rPr>
          <w:b/>
          <w:color w:val="000000"/>
          <w:sz w:val="28"/>
          <w:szCs w:val="28"/>
        </w:rPr>
        <w:t>ИНФОРМАЦИЯ</w:t>
      </w:r>
    </w:p>
    <w:p w:rsidR="0034724E" w:rsidRPr="0034724E" w:rsidRDefault="0034724E" w:rsidP="0034724E">
      <w:pPr>
        <w:pStyle w:val="ad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 w:rsidRPr="0034724E"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34724E" w:rsidRPr="0034724E" w:rsidRDefault="0034724E" w:rsidP="0034724E">
      <w:pPr>
        <w:pStyle w:val="ad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 w:rsidRPr="0034724E">
        <w:rPr>
          <w:b/>
          <w:color w:val="000000"/>
          <w:sz w:val="28"/>
          <w:szCs w:val="28"/>
        </w:rPr>
        <w:t>проекта административного регламента</w:t>
      </w:r>
    </w:p>
    <w:p w:rsidR="0034724E" w:rsidRPr="0034724E" w:rsidRDefault="0034724E" w:rsidP="0034724E">
      <w:pPr>
        <w:pStyle w:val="ad"/>
        <w:spacing w:before="0" w:after="0"/>
        <w:ind w:left="23" w:right="23"/>
        <w:jc w:val="center"/>
        <w:rPr>
          <w:color w:val="000000"/>
          <w:sz w:val="28"/>
          <w:szCs w:val="28"/>
        </w:rPr>
      </w:pPr>
    </w:p>
    <w:p w:rsidR="0034724E" w:rsidRPr="0034724E" w:rsidRDefault="0034724E" w:rsidP="003472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24E">
        <w:rPr>
          <w:rFonts w:ascii="Times New Roman" w:hAnsi="Times New Roman" w:cs="Times New Roman"/>
          <w:color w:val="000000"/>
          <w:sz w:val="28"/>
          <w:szCs w:val="28"/>
        </w:rPr>
        <w:t xml:space="preserve">      Администрацией муниципального образования Крючковский сельсовет разработан и размещен на сайте муниципального образования Крючковский сельсовет Беляевского района Оренбургской области проект  </w:t>
      </w:r>
      <w:r w:rsidRPr="0034724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</w:t>
      </w:r>
      <w:r w:rsidRPr="0034724E">
        <w:rPr>
          <w:rFonts w:ascii="Times New Roman" w:hAnsi="Times New Roman" w:cs="Times New Roman"/>
          <w:sz w:val="28"/>
          <w:szCs w:val="28"/>
        </w:rPr>
        <w:t>»</w:t>
      </w:r>
      <w:r w:rsidRPr="003472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24E" w:rsidRPr="0034724E" w:rsidRDefault="0034724E" w:rsidP="003472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24E">
        <w:rPr>
          <w:rFonts w:ascii="Times New Roman" w:hAnsi="Times New Roman" w:cs="Times New Roman"/>
          <w:color w:val="000000"/>
          <w:sz w:val="28"/>
          <w:szCs w:val="28"/>
        </w:rPr>
        <w:t xml:space="preserve"> 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34724E" w:rsidRDefault="0034724E" w:rsidP="0034724E">
      <w:pPr>
        <w:pStyle w:val="ad"/>
        <w:spacing w:before="0" w:after="0"/>
        <w:jc w:val="both"/>
        <w:rPr>
          <w:sz w:val="28"/>
          <w:szCs w:val="28"/>
        </w:rPr>
      </w:pPr>
      <w:r w:rsidRPr="0034724E">
        <w:rPr>
          <w:color w:val="000000"/>
          <w:sz w:val="28"/>
          <w:szCs w:val="28"/>
        </w:rPr>
        <w:t>     </w:t>
      </w:r>
      <w:r w:rsidRPr="0034724E">
        <w:rPr>
          <w:sz w:val="28"/>
          <w:szCs w:val="28"/>
        </w:rPr>
        <w:t>Прием</w:t>
      </w:r>
      <w:r w:rsidRPr="0034724E">
        <w:rPr>
          <w:color w:val="000000"/>
          <w:sz w:val="28"/>
          <w:szCs w:val="28"/>
        </w:rPr>
        <w:t xml:space="preserve"> заключений независимой экспертизы </w:t>
      </w:r>
      <w:r w:rsidRPr="0034724E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ежедневно с 9.00 ч. до 17.00ч., кроме субботы и воскресенья в администрации сельсовета по адресу: с.Крючковка, ул.Ленинская, д.20, </w:t>
      </w:r>
      <w:r>
        <w:rPr>
          <w:color w:val="000000"/>
          <w:sz w:val="28"/>
          <w:szCs w:val="28"/>
        </w:rPr>
        <w:t>Беляевского района Оренбургской области в срок до  2</w:t>
      </w:r>
      <w:r w:rsidR="00CB3476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апреля  2018 года.  </w:t>
      </w:r>
    </w:p>
    <w:p w:rsidR="0034724E" w:rsidRDefault="0034724E" w:rsidP="0034724E">
      <w:pPr>
        <w:shd w:val="clear" w:color="auto" w:fill="FFFFFF"/>
        <w:ind w:left="1797" w:right="102" w:hanging="1797"/>
        <w:jc w:val="both"/>
        <w:rPr>
          <w:sz w:val="24"/>
          <w:szCs w:val="24"/>
        </w:rPr>
      </w:pPr>
    </w:p>
    <w:p w:rsidR="008804AF" w:rsidRDefault="0034724E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Проект </w:t>
      </w: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D53F46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текст утвержденного административного регламента муниципального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электронного документа, подписанного уполномоченным должностным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D53F4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законом от 30.12.2006 № 271-ФЗ «О розничных рынках и 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D53F4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D53F4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D53F4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D53F4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 xml:space="preserve">разработке и утверждении органами исполнительной власти Оренбургской области административных регламентов исполнения </w:t>
      </w:r>
      <w:r w:rsidR="0064381B" w:rsidRPr="0014449C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216044" w:rsidRPr="0014449C">
        <w:rPr>
          <w:rFonts w:ascii="Times New Roman" w:hAnsi="Times New Roman" w:cs="Times New Roman"/>
          <w:sz w:val="28"/>
          <w:szCs w:val="28"/>
        </w:rPr>
        <w:lastRenderedPageBreak/>
        <w:t>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</w:t>
      </w:r>
      <w:r w:rsidR="0064121A" w:rsidRPr="0014449C">
        <w:rPr>
          <w:rFonts w:ascii="Times New Roman" w:hAnsi="Times New Roman" w:cs="Times New Roman"/>
          <w:sz w:val="28"/>
          <w:szCs w:val="28"/>
        </w:rPr>
        <w:lastRenderedPageBreak/>
        <w:t>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lastRenderedPageBreak/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</w:t>
      </w:r>
      <w:r w:rsidR="00AB184C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</w:t>
      </w:r>
      <w:r w:rsidR="001E04AA" w:rsidRPr="0014449C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21"/>
      <w:bookmarkEnd w:id="36"/>
      <w:r w:rsidRPr="0014449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14449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14449C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 w:rsidR="002050F4"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м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1642E3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обращения заявителя о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Регламентом и нормативными правовыми актами Российской Федерации для предоставл</w:t>
      </w:r>
      <w:r w:rsidR="001672C7" w:rsidRPr="0014449C">
        <w:rPr>
          <w:rFonts w:ascii="Times New Roman" w:hAnsi="Times New Roman" w:cs="Times New Roman"/>
          <w:sz w:val="28"/>
          <w:szCs w:val="28"/>
        </w:rPr>
        <w:t>ения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 w:rsidR="00AD14F3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 w:rsidR="00AD14F3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End w:id="39"/>
      <w:r w:rsidRPr="0014449C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14449C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2A95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 w:rsidRPr="0014449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087" w:rsidRPr="0014449C">
        <w:rPr>
          <w:rFonts w:ascii="Times New Roman" w:hAnsi="Times New Roman" w:cs="Times New Roman"/>
          <w:sz w:val="28"/>
          <w:szCs w:val="28"/>
        </w:rPr>
        <w:t>г</w:t>
      </w:r>
      <w:r w:rsidR="004E457E" w:rsidRPr="0014449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F0B7B" w:rsidRPr="0014449C" w:rsidRDefault="001642E3" w:rsidP="002F0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на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пода</w:t>
      </w:r>
      <w:r w:rsidR="00066E45"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органы прокуратуры и в суд. </w:t>
      </w: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58"/>
      <w:bookmarkEnd w:id="40"/>
      <w:r w:rsidRPr="0014449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5.4.2.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4449C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4449C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4449C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</w:t>
      </w:r>
      <w:r w:rsidR="00261284" w:rsidRPr="0014449C">
        <w:rPr>
          <w:rFonts w:ascii="Times New Roman" w:hAnsi="Times New Roman" w:cs="Times New Roman"/>
          <w:sz w:val="28"/>
          <w:szCs w:val="28"/>
        </w:rPr>
        <w:lastRenderedPageBreak/>
        <w:t>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4449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14449C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4449C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4449C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713005" w:rsidRDefault="0071300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42"/>
      <w:bookmarkEnd w:id="48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34724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Крючковского сельсовета Беляевского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34724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администрации Крючковского сельсовета, Иващенко Виктор Владимирович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b/>
                <w:sz w:val="24"/>
                <w:szCs w:val="24"/>
              </w:rPr>
              <w:t>461332, Оренбургская область, Беляевский район, с. Крючковка, ул. Ленинская, д.20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 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с  9.00  до  17.00; 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обеденный перерыв: 13.00 - 14.00;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вторник, четверг – технические дни;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- выходные дни. </w:t>
            </w:r>
          </w:p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F692E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8(35334) 67-1-30; </w:t>
            </w:r>
          </w:p>
          <w:p w:rsidR="006F692E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8(35334) 67-1-46  факс 67-1-30.</w:t>
            </w:r>
          </w:p>
          <w:p w:rsidR="00261284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sz w:val="24"/>
                <w:szCs w:val="24"/>
              </w:rPr>
              <w:t xml:space="preserve"> </w:t>
            </w:r>
            <w:hyperlink r:id="rId20" w:history="1"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krycssowet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6F692E" w:rsidRPr="006F692E" w:rsidRDefault="006F692E" w:rsidP="006F692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6F692E" w:rsidRPr="006F692E" w:rsidRDefault="00D53F46" w:rsidP="006F69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sovet</w:t>
              </w:r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56.ru</w:t>
              </w:r>
            </w:hyperlink>
          </w:p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6F692E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461330, Оренбургская область, Беляевский район, с. Беляевка, ул. Первомайская,  52.</w:t>
            </w:r>
          </w:p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 </w:t>
            </w:r>
          </w:p>
          <w:p w:rsidR="00261284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(перерыв на обед с 13-00 до 14-00), выходные дни – суббота и воскресенье.  </w:t>
            </w: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85" w:type="dxa"/>
          </w:tcPr>
          <w:p w:rsidR="006F692E" w:rsidRDefault="006F692E" w:rsidP="006F692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(35334)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2 15 57</w:t>
            </w:r>
          </w:p>
          <w:p w:rsidR="006F692E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(35334)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6F692E" w:rsidRDefault="006F692E" w:rsidP="006F69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mfcbelyaevka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@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261284" w:rsidRPr="006F692E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6F692E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D53F4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D53F4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D53F4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D53F4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D53F4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D53F4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D53F4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2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51" w:name="Par779"/>
      <w:bookmarkEnd w:id="51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34724E" w:rsidRPr="007F2BA9" w:rsidRDefault="0034724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34724E" w:rsidRPr="007F2BA9" w:rsidRDefault="0034724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34724E" w:rsidRPr="0004423A" w:rsidRDefault="003472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34724E" w:rsidRPr="0004423A" w:rsidRDefault="003472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34724E" w:rsidRPr="007F2BA9" w:rsidRDefault="0034724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34724E" w:rsidRPr="00DE4044" w:rsidRDefault="0034724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34724E" w:rsidRPr="0015279E" w:rsidRDefault="0034724E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D53F4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34724E" w:rsidRPr="00DE4044" w:rsidRDefault="0034724E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46" w:rsidRDefault="00D53F46" w:rsidP="00B22C6E">
      <w:pPr>
        <w:spacing w:after="0" w:line="240" w:lineRule="auto"/>
      </w:pPr>
      <w:r>
        <w:separator/>
      </w:r>
    </w:p>
  </w:endnote>
  <w:endnote w:type="continuationSeparator" w:id="0">
    <w:p w:rsidR="00D53F46" w:rsidRDefault="00D53F46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46" w:rsidRDefault="00D53F46" w:rsidP="00B22C6E">
      <w:pPr>
        <w:spacing w:after="0" w:line="240" w:lineRule="auto"/>
      </w:pPr>
      <w:r>
        <w:separator/>
      </w:r>
    </w:p>
  </w:footnote>
  <w:footnote w:type="continuationSeparator" w:id="0">
    <w:p w:rsidR="00D53F46" w:rsidRDefault="00D53F46" w:rsidP="00B22C6E">
      <w:pPr>
        <w:spacing w:after="0" w:line="240" w:lineRule="auto"/>
      </w:pPr>
      <w:r>
        <w:continuationSeparator/>
      </w:r>
    </w:p>
  </w:footnote>
  <w:footnote w:id="1">
    <w:p w:rsidR="0034724E" w:rsidRDefault="0034724E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9536"/>
      <w:docPartObj>
        <w:docPartGallery w:val="Page Numbers (Top of Page)"/>
        <w:docPartUnique/>
      </w:docPartObj>
    </w:sdtPr>
    <w:sdtEndPr/>
    <w:sdtContent>
      <w:p w:rsidR="0034724E" w:rsidRDefault="0034724E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4724E"/>
    <w:rsid w:val="0035005B"/>
    <w:rsid w:val="00350DCE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87572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6F692E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B3476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3F46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8"/>
        <o:r id="V:Rule3" type="connector" idref="#Прямая со стрелкой 9"/>
        <o:r id="V:Rule4" type="connector" idref="#_x0000_s1106"/>
        <o:r id="V:Rule5" type="connector" idref="#_x0000_s1104"/>
        <o:r id="V:Rule6" type="connector" idref="#Прямая со стрелкой 7"/>
        <o:r id="V:Rule7" type="connector" idref="#_x0000_s1102"/>
      </o:rules>
    </o:shapelayout>
  </w:shapeDefaults>
  <w:decimalSymbol w:val=","/>
  <w:listSeparator w:val=";"/>
  <w14:docId w14:val="61901086"/>
  <w15:docId w15:val="{80175101-CEAA-4753-9F28-2F17720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rmal (Web)"/>
    <w:basedOn w:val="a"/>
    <w:semiHidden/>
    <w:unhideWhenUsed/>
    <w:rsid w:val="003472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Unresolved Mention"/>
    <w:basedOn w:val="a0"/>
    <w:uiPriority w:val="99"/>
    <w:semiHidden/>
    <w:unhideWhenUsed/>
    <w:rsid w:val="006F69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vet56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mailto:krycssowet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0F8E7013986F80C1F42358C01C09B30B4E6337F6DC1F4F448B029D8E3D9342EDD5A3D954DB31762E01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4610-5A29-40E9-B9E6-2343AB9E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14419</Words>
  <Characters>82194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2018-02-14T05:25:00Z</cp:lastPrinted>
  <dcterms:created xsi:type="dcterms:W3CDTF">2018-02-16T10:23:00Z</dcterms:created>
  <dcterms:modified xsi:type="dcterms:W3CDTF">2018-03-30T06:49:00Z</dcterms:modified>
</cp:coreProperties>
</file>