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</w:t>
      </w:r>
      <w:proofErr w:type="gramStart"/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30.1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proofErr w:type="gramEnd"/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9F6E3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9F6E3E">
        <w:rPr>
          <w:rFonts w:ascii="Times New Roman" w:hAnsi="Times New Roman"/>
          <w:b/>
          <w:sz w:val="28"/>
          <w:szCs w:val="28"/>
        </w:rPr>
        <w:t xml:space="preserve">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утверждении 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Программы</w:t>
      </w:r>
      <w:bookmarkStart w:id="0" w:name="_Hlk531603193"/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на территории муниципального образования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proofErr w:type="spellStart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сельсовет </w:t>
      </w:r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proofErr w:type="spellStart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района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О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ренбургской области»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 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F0544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 законом от 31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51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proofErr w:type="spellStart"/>
      <w:r w:rsidR="009F6E3E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, руководствуя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сь Уставом муниципального образования </w:t>
      </w:r>
      <w:proofErr w:type="spellStart"/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b w:val="0"/>
          <w:sz w:val="28"/>
          <w:szCs w:val="28"/>
        </w:rPr>
        <w:t xml:space="preserve"> </w:t>
      </w:r>
      <w:r w:rsidRPr="00097E15">
        <w:rPr>
          <w:rFonts w:ascii="Times New Roman" w:hAnsi="Times New Roman"/>
          <w:b w:val="0"/>
          <w:sz w:val="28"/>
          <w:szCs w:val="28"/>
        </w:rPr>
        <w:t>сельсовет: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F6E3E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bCs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9F6E3E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F05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Default="001E57AA" w:rsidP="00F0544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7AA" w:rsidRDefault="001E57AA" w:rsidP="009F6E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5443">
        <w:rPr>
          <w:sz w:val="28"/>
          <w:szCs w:val="28"/>
        </w:rPr>
        <w:t xml:space="preserve"> сельсовета                                         </w:t>
      </w:r>
      <w:r w:rsidRPr="0034499D">
        <w:rPr>
          <w:sz w:val="28"/>
          <w:szCs w:val="28"/>
        </w:rPr>
        <w:t xml:space="preserve">                                                 </w:t>
      </w:r>
      <w:proofErr w:type="spellStart"/>
      <w:r w:rsidRPr="0034499D">
        <w:rPr>
          <w:sz w:val="28"/>
          <w:szCs w:val="28"/>
        </w:rPr>
        <w:t>А.</w:t>
      </w:r>
      <w:r w:rsidR="009F6E3E">
        <w:rPr>
          <w:sz w:val="28"/>
          <w:szCs w:val="28"/>
        </w:rPr>
        <w:t>В.Ровко</w:t>
      </w:r>
      <w:proofErr w:type="spellEnd"/>
    </w:p>
    <w:p w:rsidR="009F6E3E" w:rsidRPr="0034499D" w:rsidRDefault="009F6E3E" w:rsidP="009F6E3E">
      <w:pPr>
        <w:pStyle w:val="a4"/>
        <w:jc w:val="both"/>
        <w:rPr>
          <w:sz w:val="28"/>
          <w:szCs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5920" w:rsidRDefault="002F5920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F05443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05443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E57AA" w:rsidRPr="007D4EE0" w:rsidRDefault="001E57AA" w:rsidP="002F592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6E3E">
        <w:rPr>
          <w:rFonts w:ascii="Times New Roman" w:hAnsi="Times New Roman" w:cs="Times New Roman"/>
          <w:sz w:val="28"/>
          <w:szCs w:val="28"/>
          <w:lang w:eastAsia="ar-SA"/>
        </w:rPr>
        <w:t>30.12.2021</w:t>
      </w:r>
      <w:r w:rsidR="00455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GoBack"/>
      <w:bookmarkEnd w:id="1"/>
      <w:r w:rsidR="009F6E3E">
        <w:rPr>
          <w:rFonts w:ascii="Times New Roman" w:hAnsi="Times New Roman" w:cs="Times New Roman"/>
          <w:sz w:val="28"/>
          <w:szCs w:val="28"/>
          <w:lang w:eastAsia="ar-SA"/>
        </w:rPr>
        <w:t>№ 111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1E57AA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05443" w:rsidRPr="007D4EE0" w:rsidRDefault="00F05443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1E57AA" w:rsidRPr="00F05443" w:rsidRDefault="001E57AA" w:rsidP="00F0544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8A3C5B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443" w:rsidRPr="007D4EE0" w:rsidRDefault="00F05443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44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7AA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D111C1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C1">
        <w:rPr>
          <w:rFonts w:ascii="Times New Roman" w:hAnsi="Times New Roman" w:cs="Times New Roman"/>
          <w:sz w:val="28"/>
          <w:szCs w:val="28"/>
        </w:rPr>
        <w:t xml:space="preserve">1.3. </w:t>
      </w:r>
      <w:r w:rsidR="00D111C1"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F05443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57AA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F05443">
        <w:trPr>
          <w:trHeight w:val="32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физические лица, органы государственной власти, органы местного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F0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F05443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proofErr w:type="gramStart"/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>ля  на</w:t>
      </w:r>
      <w:proofErr w:type="gram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F054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AA"/>
    <w:rsid w:val="0004230F"/>
    <w:rsid w:val="0009015B"/>
    <w:rsid w:val="001E57AA"/>
    <w:rsid w:val="002F5920"/>
    <w:rsid w:val="004558CC"/>
    <w:rsid w:val="005E6C1D"/>
    <w:rsid w:val="00852CE6"/>
    <w:rsid w:val="00866509"/>
    <w:rsid w:val="008A3C5B"/>
    <w:rsid w:val="009F6E3E"/>
    <w:rsid w:val="00D04667"/>
    <w:rsid w:val="00D111C1"/>
    <w:rsid w:val="00F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B732"/>
  <w15:docId w15:val="{0C051D4D-1DD3-4942-B854-899A4372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9</cp:revision>
  <cp:lastPrinted>2022-01-10T06:20:00Z</cp:lastPrinted>
  <dcterms:created xsi:type="dcterms:W3CDTF">2021-12-30T04:43:00Z</dcterms:created>
  <dcterms:modified xsi:type="dcterms:W3CDTF">2022-01-10T06:44:00Z</dcterms:modified>
</cp:coreProperties>
</file>