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38E" w:rsidRDefault="0042038E" w:rsidP="0042038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42038E" w:rsidRDefault="0042038E" w:rsidP="0042038E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38E" w:rsidRDefault="0042038E" w:rsidP="0042038E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</w:t>
      </w:r>
      <w:r w:rsidRPr="0042038E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42038E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42038E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42038E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42038E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42038E">
        <w:rPr>
          <w:rFonts w:ascii="Times New Roman" w:hAnsi="Times New Roman"/>
          <w:sz w:val="28"/>
          <w:szCs w:val="28"/>
        </w:rPr>
        <w:t xml:space="preserve"> района Оренбургской области на 2023 год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42038E" w:rsidRDefault="0042038E" w:rsidP="0042038E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rFonts w:ascii="Times New Roman" w:hAnsi="Times New Roman"/>
          <w:sz w:val="28"/>
          <w:szCs w:val="28"/>
        </w:rPr>
        <w:t>вопросу  принимаются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2038E" w:rsidRDefault="0042038E" w:rsidP="0042038E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42038E" w:rsidRDefault="0042038E" w:rsidP="0042038E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42038E" w:rsidRDefault="0042038E" w:rsidP="0042038E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Общественные </w:t>
      </w:r>
      <w:proofErr w:type="gramStart"/>
      <w:r>
        <w:rPr>
          <w:rFonts w:ascii="Times New Roman" w:hAnsi="Times New Roman"/>
          <w:sz w:val="28"/>
          <w:szCs w:val="28"/>
        </w:rPr>
        <w:t>обсуждения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9 марта  по 8 апреля </w:t>
      </w:r>
      <w:r>
        <w:rPr>
          <w:rFonts w:ascii="Times New Roman" w:hAnsi="Times New Roman"/>
          <w:sz w:val="28"/>
          <w:szCs w:val="28"/>
        </w:rPr>
        <w:t>2023 года.</w:t>
      </w:r>
    </w:p>
    <w:p w:rsidR="0042038E" w:rsidRDefault="0042038E" w:rsidP="0042038E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0"/>
    <w:p w:rsidR="0042038E" w:rsidRDefault="0042038E" w:rsidP="0042038E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38E" w:rsidRDefault="0042038E" w:rsidP="0042038E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42038E" w:rsidRDefault="0042038E" w:rsidP="0042038E"/>
    <w:p w:rsidR="0042038E" w:rsidRDefault="0042038E" w:rsidP="0042038E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F6E3E" w:rsidRPr="009F6E3E" w:rsidRDefault="0042038E" w:rsidP="0042038E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</w:t>
      </w:r>
      <w:r w:rsidR="009F6E3E"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   </w:t>
      </w:r>
      <w:r w:rsidRPr="0042038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проект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9F6E3E" w:rsidRPr="009B285B" w:rsidRDefault="0055225D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_____________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_</w:t>
      </w:r>
      <w:r w:rsidR="009F6E3E" w:rsidRPr="009B285B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 №</w:t>
      </w:r>
      <w:proofErr w:type="gramEnd"/>
      <w:r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_________</w:t>
      </w:r>
      <w:r w:rsidR="009F6E3E" w:rsidRPr="009B285B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-п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9F6E3E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9F6E3E" w:rsidRPr="009F6E3E" w:rsidRDefault="009F6E3E" w:rsidP="009F6E3E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9F6E3E">
        <w:rPr>
          <w:rFonts w:ascii="Times New Roman" w:hAnsi="Times New Roman"/>
          <w:b/>
          <w:sz w:val="28"/>
          <w:szCs w:val="28"/>
        </w:rPr>
        <w:t xml:space="preserve">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утверждении </w:t>
      </w:r>
      <w:r w:rsidR="00F05443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</w:t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Программы</w:t>
      </w:r>
      <w:bookmarkStart w:id="1" w:name="_Hlk531603193"/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на территории муниципального образования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сельсовет </w:t>
      </w:r>
    </w:p>
    <w:p w:rsidR="009F6E3E" w:rsidRPr="009F6E3E" w:rsidRDefault="009F6E3E" w:rsidP="00F05443">
      <w:pPr>
        <w:widowControl w:val="0"/>
        <w:suppressAutoHyphens/>
        <w:spacing w:after="0" w:line="240" w:lineRule="auto"/>
        <w:ind w:right="4959"/>
        <w:jc w:val="both"/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</w:pPr>
      <w:proofErr w:type="spellStart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района</w:t>
      </w:r>
      <w:r w:rsidR="00F05443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 О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 xml:space="preserve">ренбургской </w:t>
      </w:r>
      <w:r w:rsidRPr="009F6E3E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lastRenderedPageBreak/>
        <w:t>области»</w:t>
      </w:r>
    </w:p>
    <w:p w:rsidR="009F6E3E" w:rsidRPr="009F6E3E" w:rsidRDefault="009F6E3E" w:rsidP="009F6E3E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9F6E3E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 </w:t>
      </w:r>
    </w:p>
    <w:p w:rsidR="001E57AA" w:rsidRPr="00097E15" w:rsidRDefault="001E57AA" w:rsidP="002F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1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E57AA" w:rsidRPr="00097E15" w:rsidRDefault="001E57AA" w:rsidP="00F05443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Федеральным законом от 31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F05443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51</w:t>
      </w:r>
      <w:r w:rsidRPr="0009015B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жилищном контроле на территории муниципального образования </w:t>
      </w:r>
      <w:proofErr w:type="spellStart"/>
      <w:r w:rsidR="009F6E3E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="0009015B" w:rsidRPr="0009015B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</w:t>
      </w:r>
      <w:r w:rsidR="009F6E3E">
        <w:rPr>
          <w:rFonts w:ascii="Times New Roman" w:hAnsi="Times New Roman" w:cs="Times New Roman"/>
          <w:b w:val="0"/>
          <w:sz w:val="28"/>
          <w:szCs w:val="28"/>
        </w:rPr>
        <w:t>, руководствуя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сь Уставом муниципального образования </w:t>
      </w:r>
      <w:proofErr w:type="spellStart"/>
      <w:r w:rsidR="009F6E3E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 w:val="0"/>
          <w:sz w:val="28"/>
          <w:szCs w:val="28"/>
        </w:rPr>
        <w:t xml:space="preserve"> </w:t>
      </w:r>
      <w:r w:rsidRPr="00097E15">
        <w:rPr>
          <w:rFonts w:ascii="Times New Roman" w:hAnsi="Times New Roman"/>
          <w:b w:val="0"/>
          <w:sz w:val="28"/>
          <w:szCs w:val="28"/>
        </w:rPr>
        <w:t>сельсовет: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</w:t>
      </w:r>
      <w:r w:rsidRPr="00D111C1">
        <w:rPr>
          <w:rFonts w:ascii="Times New Roman" w:hAnsi="Times New Roman"/>
          <w:sz w:val="28"/>
          <w:szCs w:val="28"/>
        </w:rPr>
        <w:t xml:space="preserve">охраняемым законом ценностям при осуществлении муниципального </w:t>
      </w:r>
      <w:r w:rsidR="00D111C1" w:rsidRPr="00D111C1">
        <w:rPr>
          <w:rFonts w:ascii="Times New Roman" w:hAnsi="Times New Roman"/>
          <w:sz w:val="28"/>
          <w:szCs w:val="28"/>
        </w:rPr>
        <w:t>жилищного контроля</w:t>
      </w:r>
      <w:r w:rsidR="00D111C1" w:rsidRPr="0009015B">
        <w:rPr>
          <w:rFonts w:ascii="Times New Roman" w:hAnsi="Times New Roman"/>
          <w:b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9F6E3E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bCs/>
          <w:sz w:val="28"/>
          <w:szCs w:val="28"/>
        </w:rPr>
        <w:t xml:space="preserve"> </w:t>
      </w:r>
      <w:r w:rsidRPr="00EF7D6C">
        <w:rPr>
          <w:rFonts w:ascii="Times New Roman" w:hAnsi="Times New Roman"/>
          <w:bCs/>
          <w:sz w:val="28"/>
          <w:szCs w:val="28"/>
        </w:rPr>
        <w:t xml:space="preserve">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9B285B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9F6E3E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="009F6E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1E57AA" w:rsidRPr="00341BAA" w:rsidRDefault="001E57AA" w:rsidP="00F0544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1E57AA" w:rsidRPr="007D4EE0" w:rsidRDefault="001E57AA" w:rsidP="00F05443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1E57AA" w:rsidRDefault="001E57AA" w:rsidP="00F0544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57AA" w:rsidRPr="007D4EE0" w:rsidRDefault="001E57AA" w:rsidP="002F592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57AA" w:rsidRDefault="001E57AA" w:rsidP="009F6E3E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5443">
        <w:rPr>
          <w:sz w:val="28"/>
          <w:szCs w:val="28"/>
        </w:rPr>
        <w:t xml:space="preserve"> сельсовета                                         </w:t>
      </w:r>
      <w:r w:rsidRPr="0034499D">
        <w:rPr>
          <w:sz w:val="28"/>
          <w:szCs w:val="28"/>
        </w:rPr>
        <w:t xml:space="preserve">                                                 </w:t>
      </w:r>
      <w:proofErr w:type="spellStart"/>
      <w:r w:rsidRPr="0034499D">
        <w:rPr>
          <w:sz w:val="28"/>
          <w:szCs w:val="28"/>
        </w:rPr>
        <w:t>А.</w:t>
      </w:r>
      <w:r w:rsidR="009F6E3E">
        <w:rPr>
          <w:sz w:val="28"/>
          <w:szCs w:val="28"/>
        </w:rPr>
        <w:t>В.Ровко</w:t>
      </w:r>
      <w:proofErr w:type="spellEnd"/>
    </w:p>
    <w:p w:rsidR="009F6E3E" w:rsidRPr="0034499D" w:rsidRDefault="009F6E3E" w:rsidP="009F6E3E">
      <w:pPr>
        <w:pStyle w:val="a4"/>
        <w:jc w:val="both"/>
        <w:rPr>
          <w:sz w:val="28"/>
          <w:szCs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F05443" w:rsidRDefault="00F05443" w:rsidP="002F5920">
      <w:pPr>
        <w:pStyle w:val="a5"/>
        <w:spacing w:after="0"/>
        <w:rPr>
          <w:sz w:val="28"/>
        </w:rPr>
      </w:pPr>
    </w:p>
    <w:p w:rsidR="001E57AA" w:rsidRPr="0034499D" w:rsidRDefault="001E57AA" w:rsidP="002F5920">
      <w:pPr>
        <w:pStyle w:val="a5"/>
        <w:spacing w:after="0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1E57AA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111C1" w:rsidRDefault="00D111C1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05443" w:rsidRDefault="00F05443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F5920" w:rsidRDefault="002F5920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E57AA" w:rsidRPr="007D4EE0" w:rsidRDefault="001E57AA" w:rsidP="002F592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F05443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1E57AA" w:rsidRPr="007D4EE0" w:rsidRDefault="001E57AA" w:rsidP="002F592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F05443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1E57AA" w:rsidRPr="009B285B" w:rsidRDefault="001E57AA" w:rsidP="002F5920">
      <w:pPr>
        <w:spacing w:after="0" w:line="240" w:lineRule="auto"/>
        <w:ind w:left="5040" w:hanging="79"/>
        <w:rPr>
          <w:rFonts w:ascii="Times New Roman" w:hAnsi="Times New Roman" w:cs="Times New Roman"/>
          <w:color w:val="FF0000"/>
          <w:sz w:val="28"/>
          <w:szCs w:val="28"/>
        </w:rPr>
      </w:pPr>
      <w:r w:rsidRPr="009B285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от </w:t>
      </w:r>
      <w:r w:rsidR="000D653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___________</w:t>
      </w:r>
      <w:r w:rsidR="004558CC" w:rsidRPr="009B285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9F6E3E" w:rsidRPr="009B285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№</w:t>
      </w:r>
      <w:r w:rsidR="000D653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______</w:t>
      </w:r>
      <w:r w:rsidRPr="009B285B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-п </w:t>
      </w:r>
    </w:p>
    <w:p w:rsidR="001E57AA" w:rsidRDefault="001E57AA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F05443" w:rsidRPr="007D4EE0" w:rsidRDefault="00F05443" w:rsidP="002F59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1E57AA" w:rsidRPr="007D4EE0" w:rsidRDefault="001E57AA" w:rsidP="002F592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1E57AA" w:rsidRPr="00F05443" w:rsidRDefault="001E57AA" w:rsidP="00F05443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D111C1">
        <w:rPr>
          <w:rFonts w:ascii="Times New Roman" w:hAnsi="Times New Roman"/>
          <w:b/>
          <w:sz w:val="28"/>
          <w:szCs w:val="28"/>
        </w:rPr>
        <w:t xml:space="preserve">жилищного </w:t>
      </w:r>
      <w:r w:rsidRPr="00EF7D6C">
        <w:rPr>
          <w:rFonts w:ascii="Times New Roman" w:hAnsi="Times New Roman"/>
          <w:b/>
          <w:sz w:val="28"/>
          <w:szCs w:val="28"/>
        </w:rPr>
        <w:t xml:space="preserve">контроля 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</w:t>
      </w:r>
      <w:proofErr w:type="spellStart"/>
      <w:r w:rsidR="008A3C5B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9B285B">
        <w:rPr>
          <w:rFonts w:ascii="Times New Roman" w:hAnsi="Times New Roman"/>
          <w:b/>
          <w:sz w:val="28"/>
          <w:szCs w:val="28"/>
        </w:rPr>
        <w:t>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5443" w:rsidRPr="007D4EE0" w:rsidRDefault="00F05443" w:rsidP="002F592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1E57AA" w:rsidRDefault="001E57AA" w:rsidP="002F59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B6718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1E57AA" w:rsidRPr="007B6718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D111C1">
        <w:rPr>
          <w:rFonts w:ascii="Times New Roman" w:hAnsi="Times New Roman" w:cs="Times New Roman"/>
          <w:bCs/>
          <w:sz w:val="28"/>
          <w:szCs w:val="28"/>
        </w:rPr>
        <w:t xml:space="preserve">жилищный </w:t>
      </w:r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D111C1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D111C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5443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1E57AA" w:rsidRDefault="00F05443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E57AA">
        <w:rPr>
          <w:rFonts w:ascii="Times New Roman" w:hAnsi="Times New Roman" w:cs="Times New Roman"/>
          <w:bCs/>
          <w:sz w:val="28"/>
          <w:szCs w:val="28"/>
        </w:rPr>
        <w:t>1</w:t>
      </w:r>
      <w:r w:rsidR="001E57AA"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</w:p>
    <w:p w:rsidR="00D111C1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11C1">
        <w:rPr>
          <w:rFonts w:ascii="Times New Roman" w:hAnsi="Times New Roman" w:cs="Times New Roman"/>
          <w:sz w:val="28"/>
          <w:szCs w:val="28"/>
        </w:rPr>
        <w:t xml:space="preserve">1.3. </w:t>
      </w:r>
      <w:r w:rsidR="00D111C1" w:rsidRPr="005C6913">
        <w:rPr>
          <w:rFonts w:ascii="Times New Roman" w:hAnsi="Times New Roman" w:cs="Times New Roman"/>
          <w:sz w:val="28"/>
          <w:szCs w:val="28"/>
        </w:rPr>
        <w:t>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4" w:history="1">
        <w:r w:rsidRPr="005C6913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354 "О предоставлении коммунальных услуг собственникам и пользователям помещений в многоквартирных домах и жилых домов";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416 "О порядке осуществления деятельности по управлению многоквартирными домами";</w:t>
      </w:r>
    </w:p>
    <w:p w:rsidR="00D111C1" w:rsidRPr="005C6913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6913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5C691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5C691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</w:t>
      </w:r>
      <w:r>
        <w:rPr>
          <w:rFonts w:ascii="Times New Roman" w:hAnsi="Times New Roman" w:cs="Times New Roman"/>
          <w:sz w:val="28"/>
          <w:szCs w:val="28"/>
        </w:rPr>
        <w:t>льному комплексу от 27.09.2003 №</w:t>
      </w:r>
      <w:r w:rsidRPr="005C6913">
        <w:rPr>
          <w:rFonts w:ascii="Times New Roman" w:hAnsi="Times New Roman" w:cs="Times New Roman"/>
          <w:sz w:val="28"/>
          <w:szCs w:val="28"/>
        </w:rPr>
        <w:t xml:space="preserve"> 170 "Об утверждении Правил и норм технической эксплуатации жилищного фонда";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жилищного контроля являются: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D111C1" w:rsidRPr="00954389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4389">
        <w:rPr>
          <w:rFonts w:ascii="Times New Roman" w:hAnsi="Times New Roman" w:cs="Times New Roman"/>
          <w:sz w:val="28"/>
          <w:szCs w:val="28"/>
        </w:rPr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D111C1" w:rsidRDefault="00D111C1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913">
        <w:rPr>
          <w:rFonts w:ascii="Times New Roman" w:hAnsi="Times New Roman" w:cs="Times New Roman"/>
          <w:sz w:val="28"/>
          <w:szCs w:val="28"/>
        </w:rPr>
        <w:t xml:space="preserve">В качестве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контролируемых лиц при осуществлении муниципального жилищного контроля </w:t>
      </w:r>
      <w:r w:rsidRPr="005C6913">
        <w:rPr>
          <w:rFonts w:ascii="Times New Roman" w:hAnsi="Times New Roman" w:cs="Times New Roman"/>
          <w:sz w:val="28"/>
          <w:szCs w:val="28"/>
        </w:rPr>
        <w:t>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11C1" w:rsidRDefault="002F5920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1C1">
        <w:rPr>
          <w:rFonts w:ascii="Times New Roman" w:hAnsi="Times New Roman" w:cs="Times New Roman"/>
          <w:sz w:val="28"/>
          <w:szCs w:val="28"/>
        </w:rPr>
        <w:t>.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D111C1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D111C1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D111C1">
        <w:rPr>
          <w:rFonts w:ascii="Times New Roman" w:hAnsi="Times New Roman" w:cs="Times New Roman"/>
          <w:sz w:val="28"/>
          <w:szCs w:val="28"/>
        </w:rPr>
        <w:t>: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D111C1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D111C1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D111C1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D111C1">
        <w:rPr>
          <w:rFonts w:ascii="Times New Roman" w:hAnsi="Times New Roman" w:cs="Times New Roman"/>
          <w:sz w:val="28"/>
          <w:szCs w:val="28"/>
        </w:rPr>
        <w:t>лицами.</w:t>
      </w:r>
    </w:p>
    <w:p w:rsidR="00F05443" w:rsidRPr="005C6913" w:rsidRDefault="00F05443" w:rsidP="002F592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57AA" w:rsidRPr="007612EB" w:rsidRDefault="001E57AA" w:rsidP="002F59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57AA" w:rsidRPr="001C2C9C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2F5920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2F5920" w:rsidRPr="00431A76" w:rsidRDefault="002F5920" w:rsidP="002F5920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E57AA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F05443" w:rsidRPr="007D4EE0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1E57AA" w:rsidRDefault="001E57AA" w:rsidP="002F592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441BB">
        <w:rPr>
          <w:rFonts w:ascii="Times New Roman" w:hAnsi="Times New Roman" w:cs="Times New Roman"/>
          <w:sz w:val="28"/>
          <w:szCs w:val="28"/>
        </w:rPr>
        <w:t xml:space="preserve">3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1E57AA" w:rsidRPr="007D4EE0" w:rsidRDefault="001E57AA" w:rsidP="002F592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E57AA" w:rsidRPr="007D4EE0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E57AA" w:rsidRPr="007D4EE0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F05443">
        <w:trPr>
          <w:trHeight w:val="3279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441B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9441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F054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E57AA" w:rsidRPr="007D4EE0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054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9B28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202</w:t>
            </w:r>
            <w:r w:rsidR="009B2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7AA" w:rsidRPr="00F05443" w:rsidRDefault="001E57AA" w:rsidP="002F592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443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F05443" w:rsidRDefault="00F05443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1E57AA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жилищному </w:t>
      </w:r>
      <w:proofErr w:type="gramStart"/>
      <w:r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лю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1E57AA" w:rsidRPr="007D4EE0" w:rsidRDefault="001E57AA" w:rsidP="002F5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="002F59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5920">
        <w:rPr>
          <w:rFonts w:ascii="Times New Roman" w:hAnsi="Times New Roman" w:cs="Times New Roman"/>
          <w:bCs/>
          <w:sz w:val="28"/>
          <w:szCs w:val="28"/>
        </w:rPr>
        <w:t xml:space="preserve">жилищного </w:t>
      </w:r>
      <w:proofErr w:type="gramStart"/>
      <w:r w:rsidR="002F5920" w:rsidRPr="007B6718">
        <w:rPr>
          <w:rFonts w:ascii="Times New Roman" w:hAnsi="Times New Roman" w:cs="Times New Roman"/>
          <w:bCs/>
          <w:sz w:val="28"/>
          <w:szCs w:val="28"/>
        </w:rPr>
        <w:t>контро</w:t>
      </w:r>
      <w:r w:rsidR="002F5920">
        <w:rPr>
          <w:rFonts w:ascii="Times New Roman" w:hAnsi="Times New Roman" w:cs="Times New Roman"/>
          <w:bCs/>
          <w:sz w:val="28"/>
          <w:szCs w:val="28"/>
        </w:rPr>
        <w:t>ля  на</w:t>
      </w:r>
      <w:proofErr w:type="gram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территории 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F5920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F5920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A3C5B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F59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1E57AA" w:rsidRDefault="001E57AA" w:rsidP="002F5920">
      <w:pPr>
        <w:spacing w:after="0" w:line="240" w:lineRule="auto"/>
      </w:pPr>
    </w:p>
    <w:p w:rsidR="0004230F" w:rsidRDefault="0004230F" w:rsidP="002F5920">
      <w:pPr>
        <w:spacing w:after="0" w:line="240" w:lineRule="auto"/>
      </w:pPr>
    </w:p>
    <w:sectPr w:rsidR="0004230F" w:rsidSect="00F05443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7AA"/>
    <w:rsid w:val="0004230F"/>
    <w:rsid w:val="0009015B"/>
    <w:rsid w:val="000D6531"/>
    <w:rsid w:val="001E57AA"/>
    <w:rsid w:val="00291424"/>
    <w:rsid w:val="002F5920"/>
    <w:rsid w:val="0042038E"/>
    <w:rsid w:val="004558CC"/>
    <w:rsid w:val="0055225D"/>
    <w:rsid w:val="005E6C1D"/>
    <w:rsid w:val="00852CE6"/>
    <w:rsid w:val="00866509"/>
    <w:rsid w:val="008A3C5B"/>
    <w:rsid w:val="009441BB"/>
    <w:rsid w:val="009B285B"/>
    <w:rsid w:val="009F6E3E"/>
    <w:rsid w:val="00D04667"/>
    <w:rsid w:val="00D111C1"/>
    <w:rsid w:val="00F0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C75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7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E57A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1E57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1E57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57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E57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0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05825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56131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2661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LAW&amp;n=356129&amp;date=14.09.202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73476&amp;date=14.09.2021" TargetMode="External"/><Relationship Id="rId9" Type="http://schemas.openxmlformats.org/officeDocument/2006/relationships/hyperlink" Target="https://login.consultant.ru/link/?req=doc&amp;base=LAW&amp;n=44772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2677</Words>
  <Characters>15260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7</cp:revision>
  <cp:lastPrinted>2022-01-10T06:20:00Z</cp:lastPrinted>
  <dcterms:created xsi:type="dcterms:W3CDTF">2022-01-10T07:33:00Z</dcterms:created>
  <dcterms:modified xsi:type="dcterms:W3CDTF">2023-03-07T04:40:00Z</dcterms:modified>
</cp:coreProperties>
</file>